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>Киреева Зульфия Наиловна</w:t>
            </w:r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</w:p>
          <w:p w:rsidR="00E60DE4" w:rsidRPr="00C60B7A" w:rsidRDefault="00E60DE4" w:rsidP="00D625DC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«Экоинтеллект»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«Экокипер»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го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bookmarkStart w:id="0" w:name="_GoBack" w:colFirst="0" w:colLast="5"/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bookmarkEnd w:id="0"/>
      <w:tr w:rsidR="00E60DE4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lastRenderedPageBreak/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ОУ № 117 каб.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B756B0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r w:rsidRPr="00C60B7A">
              <w:t>Хуснетдинова Алина Марсовна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3F4589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3F4589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3F4589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3F4589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r w:rsidRPr="00C60B7A">
              <w:t>Шакирьянов Морис Масгутович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B756B0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lastRenderedPageBreak/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кл ОУ № 117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B756B0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3231DF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C12EE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B756B0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B756B0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«Юные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D5441B">
            <w:pPr>
              <w:ind w:right="-108"/>
            </w:pPr>
            <w:r>
              <w:t>16</w:t>
            </w:r>
            <w:r w:rsidRPr="00C60B7A">
              <w:rPr>
                <w:vertAlign w:val="superscript"/>
              </w:rPr>
              <w:t xml:space="preserve">00 </w:t>
            </w:r>
            <w:r>
              <w:t>– 16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(5)</w:t>
            </w:r>
          </w:p>
          <w:p w:rsidR="00AE3477" w:rsidRPr="00C60B7A" w:rsidRDefault="00AE3477" w:rsidP="00D5441B">
            <w:pPr>
              <w:ind w:right="-108"/>
            </w:pPr>
            <w:r>
              <w:t>16</w:t>
            </w:r>
            <w:r w:rsidRPr="00C60B7A">
              <w:rPr>
                <w:vertAlign w:val="superscript"/>
              </w:rPr>
              <w:t xml:space="preserve">30 </w:t>
            </w:r>
            <w:r>
              <w:t>– 16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AE3477" w:rsidRPr="00C60B7A" w:rsidRDefault="00AE3477" w:rsidP="000A3E3F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AE3477" w:rsidRPr="00C60B7A" w:rsidRDefault="00AE3477" w:rsidP="000A3E3F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(3)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EB5A3D">
            <w:pPr>
              <w:ind w:right="-108"/>
              <w:rPr>
                <w:vertAlign w:val="superscript"/>
              </w:rPr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13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AE3477" w:rsidRPr="00C60B7A" w:rsidRDefault="00AE3477" w:rsidP="00EB5A3D">
            <w:pPr>
              <w:ind w:right="-90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13</w:t>
            </w:r>
            <w:r w:rsidRPr="00C60B7A">
              <w:rPr>
                <w:vertAlign w:val="superscript"/>
              </w:rPr>
              <w:t>50</w:t>
            </w:r>
          </w:p>
          <w:p w:rsidR="00AE3477" w:rsidRPr="00C60B7A" w:rsidRDefault="00AE3477" w:rsidP="00EB5A3D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(3)</w:t>
            </w:r>
          </w:p>
          <w:p w:rsidR="00AE3477" w:rsidRPr="00C60B7A" w:rsidRDefault="00AE3477" w:rsidP="00EB5A3D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50 </w:t>
            </w:r>
          </w:p>
          <w:p w:rsidR="00AE3477" w:rsidRPr="00C60B7A" w:rsidRDefault="00AE3477" w:rsidP="00EB5A3D">
            <w:pPr>
              <w:ind w:right="-108"/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4D2EB2" w:rsidRDefault="00AE3477" w:rsidP="00685299">
            <w:pPr>
              <w:ind w:right="-91"/>
            </w:pPr>
          </w:p>
        </w:tc>
      </w:tr>
      <w:tr w:rsidR="00AE3477" w:rsidRPr="00BB7FE4" w:rsidTr="00B756B0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го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lastRenderedPageBreak/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Курамшина Наталья Георгиевна «Лаборатория экологического мониторинга» 13-17 лет группы 1 го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r w:rsidRPr="00B60875">
              <w:t>Нургалеева Лиана Фануровна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D9" w:rsidRDefault="00EA09D9" w:rsidP="00694FA9">
      <w:r>
        <w:separator/>
      </w:r>
    </w:p>
  </w:endnote>
  <w:endnote w:type="continuationSeparator" w:id="0">
    <w:p w:rsidR="00EA09D9" w:rsidRDefault="00EA09D9" w:rsidP="0069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D9" w:rsidRDefault="00EA09D9" w:rsidP="00694FA9">
      <w:r>
        <w:separator/>
      </w:r>
    </w:p>
  </w:footnote>
  <w:footnote w:type="continuationSeparator" w:id="0">
    <w:p w:rsidR="00EA09D9" w:rsidRDefault="00EA09D9" w:rsidP="00694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3AA4-E1E3-4BDC-8A8A-57BEC6D4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110</cp:revision>
  <cp:lastPrinted>2020-03-03T12:24:00Z</cp:lastPrinted>
  <dcterms:created xsi:type="dcterms:W3CDTF">2019-09-16T07:28:00Z</dcterms:created>
  <dcterms:modified xsi:type="dcterms:W3CDTF">2020-04-16T18:50:00Z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